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宋体" w:eastAsia="宋体" w:cs="宋体"/>
          <w:b/>
          <w:bCs/>
          <w:sz w:val="52"/>
          <w:szCs w:val="52"/>
        </w:rPr>
      </w:pPr>
    </w:p>
    <w:p>
      <w:pPr>
        <w:jc w:val="center"/>
        <w:rPr>
          <w:rFonts w:hint="eastAsia" w:ascii="Times New Roman" w:hAnsi="宋体" w:eastAsia="宋体" w:cs="宋体"/>
          <w:b/>
          <w:bCs/>
          <w:sz w:val="52"/>
          <w:szCs w:val="52"/>
        </w:rPr>
      </w:pPr>
    </w:p>
    <w:p>
      <w:pPr>
        <w:jc w:val="center"/>
        <w:rPr>
          <w:rFonts w:ascii="Times New Roman" w:hAnsi="Times New Roman" w:eastAsia="宋体"/>
          <w:b/>
          <w:bCs/>
          <w:sz w:val="32"/>
          <w:szCs w:val="32"/>
        </w:rPr>
      </w:pPr>
      <w:r>
        <w:rPr>
          <w:rFonts w:hint="eastAsia" w:ascii="Times New Roman" w:hAnsi="宋体" w:eastAsia="宋体" w:cs="宋体"/>
          <w:b/>
          <w:bCs/>
          <w:sz w:val="52"/>
          <w:szCs w:val="52"/>
        </w:rPr>
        <w:t>突发环境事件</w:t>
      </w:r>
      <w:bookmarkStart w:id="0" w:name="_GoBack"/>
      <w:bookmarkEnd w:id="0"/>
      <w:r>
        <w:rPr>
          <w:rFonts w:hint="eastAsia" w:ascii="Times New Roman" w:hAnsi="宋体" w:eastAsia="宋体" w:cs="宋体"/>
          <w:b/>
          <w:bCs/>
          <w:sz w:val="52"/>
          <w:szCs w:val="52"/>
        </w:rPr>
        <w:t>应急预案编制说明</w:t>
      </w:r>
    </w:p>
    <w:p>
      <w:pPr>
        <w:pStyle w:val="18"/>
        <w:ind w:firstLine="560"/>
        <w:jc w:val="center"/>
        <w:rPr>
          <w:rFonts w:hint="eastAsia" w:ascii="宋体" w:hAnsi="宋体"/>
          <w:sz w:val="28"/>
          <w:szCs w:val="28"/>
        </w:rPr>
      </w:pPr>
    </w:p>
    <w:p>
      <w:pPr>
        <w:pStyle w:val="18"/>
        <w:ind w:firstLine="560"/>
        <w:jc w:val="center"/>
        <w:rPr>
          <w:rFonts w:hint="eastAsia" w:ascii="宋体" w:hAnsi="宋体" w:eastAsia="宋体"/>
          <w:sz w:val="44"/>
          <w:szCs w:val="44"/>
          <w:lang w:val="en-US" w:eastAsia="zh-CN"/>
        </w:rPr>
      </w:pPr>
      <w:r>
        <w:rPr>
          <w:rFonts w:hint="eastAsia" w:ascii="宋体" w:hAnsi="宋体"/>
          <w:sz w:val="44"/>
          <w:szCs w:val="44"/>
          <w:lang w:val="en-US" w:eastAsia="zh-CN"/>
        </w:rPr>
        <w:t>【2019版】</w:t>
      </w: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pPr>
    </w:p>
    <w:p>
      <w:pPr>
        <w:pStyle w:val="18"/>
        <w:ind w:firstLine="560"/>
        <w:jc w:val="center"/>
        <w:rPr>
          <w:rFonts w:hint="eastAsia" w:ascii="宋体" w:hAnsi="宋体"/>
          <w:sz w:val="28"/>
          <w:szCs w:val="28"/>
        </w:rPr>
        <w:sectPr>
          <w:pgSz w:w="11906" w:h="16838"/>
          <w:pgMar w:top="1440" w:right="1800" w:bottom="1440" w:left="1800" w:header="708" w:footer="708" w:gutter="0"/>
          <w:cols w:space="708" w:num="1"/>
          <w:docGrid w:linePitch="360" w:charSpace="0"/>
        </w:sectPr>
      </w:pPr>
      <w:r>
        <w:rPr>
          <w:rFonts w:hint="eastAsia" w:ascii="Times New Roman" w:hAnsi="宋体" w:eastAsia="宋体" w:cs="Times New Roman"/>
          <w:b/>
          <w:bCs/>
          <w:sz w:val="32"/>
          <w:szCs w:val="32"/>
        </w:rPr>
        <w:t>武汉汉氏资源循环利用</w:t>
      </w:r>
      <w:r>
        <w:rPr>
          <w:rFonts w:hint="eastAsia" w:ascii="Times New Roman" w:hAnsi="宋体" w:eastAsia="宋体" w:cs="宋体"/>
          <w:b/>
          <w:bCs/>
          <w:sz w:val="32"/>
          <w:szCs w:val="32"/>
        </w:rPr>
        <w:t>有限公司</w:t>
      </w:r>
    </w:p>
    <w:p>
      <w:pPr>
        <w:pStyle w:val="18"/>
        <w:ind w:firstLine="560"/>
        <w:rPr>
          <w:rFonts w:hAnsi="宋体" w:cs="宋体"/>
          <w:sz w:val="28"/>
          <w:szCs w:val="28"/>
        </w:rPr>
      </w:pPr>
      <w:r>
        <w:rPr>
          <w:rFonts w:hint="eastAsia" w:ascii="宋体" w:hAnsi="宋体"/>
          <w:sz w:val="28"/>
          <w:szCs w:val="28"/>
        </w:rPr>
        <w:t>2015年11月份公司组织编制《武汉汉氏资源循环利用有限公</w:t>
      </w:r>
      <w:r>
        <w:rPr>
          <w:rFonts w:hint="eastAsia" w:hAnsi="宋体" w:cs="宋体"/>
          <w:sz w:val="28"/>
          <w:szCs w:val="28"/>
        </w:rPr>
        <w:t>司突发环境事件应急预案》，预案按照《中华人民共和国环境保护法》、《中华人民共和国突发事件应对法》、《突发环境事件应急预案管理暂行办法》、《湖北省突发环境事件应急预案评估导则（试行）》等相关法律法规要求编制。编制完成后，于</w:t>
      </w:r>
      <w:r>
        <w:rPr>
          <w:sz w:val="28"/>
          <w:szCs w:val="28"/>
        </w:rPr>
        <w:t>2015</w:t>
      </w:r>
      <w:r>
        <w:rPr>
          <w:rFonts w:hint="eastAsia" w:hAnsi="宋体" w:cs="宋体"/>
          <w:sz w:val="28"/>
          <w:szCs w:val="28"/>
        </w:rPr>
        <w:t>年</w:t>
      </w:r>
      <w:r>
        <w:rPr>
          <w:rFonts w:hint="eastAsia"/>
          <w:sz w:val="28"/>
          <w:szCs w:val="28"/>
        </w:rPr>
        <w:t>12</w:t>
      </w:r>
      <w:r>
        <w:rPr>
          <w:rFonts w:hint="eastAsia" w:hAnsi="宋体" w:cs="宋体"/>
          <w:sz w:val="28"/>
          <w:szCs w:val="28"/>
        </w:rPr>
        <w:t>月</w:t>
      </w:r>
      <w:r>
        <w:rPr>
          <w:rFonts w:hint="eastAsia"/>
          <w:sz w:val="28"/>
          <w:szCs w:val="28"/>
        </w:rPr>
        <w:t>24</w:t>
      </w:r>
      <w:r>
        <w:rPr>
          <w:rFonts w:hint="eastAsia" w:hAnsi="宋体" w:cs="宋体"/>
          <w:sz w:val="28"/>
          <w:szCs w:val="28"/>
        </w:rPr>
        <w:t>日组织召开了应急预案评估会议，组织专家和可能受影响的居民、单位代表对环境应急预案进行评审。根据评审意见经修订后由</w:t>
      </w:r>
      <w:r>
        <w:rPr>
          <w:rFonts w:hint="eastAsia" w:hAnsi="宋体"/>
          <w:sz w:val="28"/>
          <w:szCs w:val="28"/>
        </w:rPr>
        <w:t>武汉汉氏资源循环利用</w:t>
      </w:r>
      <w:r>
        <w:rPr>
          <w:rFonts w:hint="eastAsia" w:hAnsi="宋体" w:cs="宋体"/>
          <w:sz w:val="28"/>
          <w:szCs w:val="28"/>
        </w:rPr>
        <w:t>有限公司总经理</w:t>
      </w:r>
      <w:r>
        <w:rPr>
          <w:rFonts w:hint="eastAsia" w:hAnsi="宋体"/>
          <w:sz w:val="28"/>
          <w:szCs w:val="28"/>
        </w:rPr>
        <w:t>张一鸣</w:t>
      </w:r>
      <w:r>
        <w:rPr>
          <w:rFonts w:hint="eastAsia" w:hAnsi="宋体" w:cs="宋体"/>
          <w:sz w:val="28"/>
          <w:szCs w:val="28"/>
        </w:rPr>
        <w:t>签署发布应急预案。企业根据自身内部原因和外部环境变化，新的法律法规的实施等因素，于2019年10月份对公司突发环境事件应急预案进行二次更新与修订，并于2019年11月18日组织召开应急预案评审会议，专家对修订后的预案进行评审。现在就二次修订预案编制情况进行说明。</w:t>
      </w:r>
    </w:p>
    <w:p>
      <w:pPr>
        <w:pStyle w:val="18"/>
        <w:ind w:firstLine="0" w:firstLineChars="0"/>
        <w:rPr>
          <w:rFonts w:ascii="宋体" w:hAnsi="宋体"/>
          <w:b/>
          <w:sz w:val="28"/>
          <w:szCs w:val="28"/>
        </w:rPr>
      </w:pPr>
      <w:r>
        <w:rPr>
          <w:rFonts w:hint="eastAsia" w:ascii="宋体" w:hAnsi="宋体"/>
          <w:b/>
          <w:sz w:val="28"/>
          <w:szCs w:val="28"/>
        </w:rPr>
        <w:t>1、编制原则</w:t>
      </w:r>
    </w:p>
    <w:p>
      <w:pPr>
        <w:pStyle w:val="18"/>
        <w:ind w:firstLine="560"/>
        <w:rPr>
          <w:rFonts w:ascii="宋体" w:hAnsi="宋体"/>
          <w:sz w:val="28"/>
          <w:szCs w:val="28"/>
        </w:rPr>
      </w:pPr>
      <w:r>
        <w:rPr>
          <w:rFonts w:hint="eastAsia" w:ascii="宋体" w:hAnsi="宋体"/>
          <w:sz w:val="28"/>
          <w:szCs w:val="28"/>
        </w:rPr>
        <w:t>武汉汉氏资源循环利用有限公司突发环境污染事故应急救援工作遵循“预防为主，防治结合；统一领导，协同合作；科学应对，高效处置”的原则。</w:t>
      </w:r>
    </w:p>
    <w:p>
      <w:pPr>
        <w:pStyle w:val="18"/>
        <w:ind w:firstLine="560"/>
        <w:rPr>
          <w:rFonts w:ascii="宋体" w:hAnsi="宋体"/>
          <w:sz w:val="28"/>
          <w:szCs w:val="28"/>
        </w:rPr>
      </w:pPr>
      <w:r>
        <w:rPr>
          <w:rFonts w:ascii="宋体" w:hAnsi="宋体"/>
          <w:sz w:val="28"/>
          <w:szCs w:val="28"/>
        </w:rPr>
        <w:t>（1）预防为主</w:t>
      </w:r>
      <w:r>
        <w:rPr>
          <w:rFonts w:hint="eastAsia" w:ascii="宋体" w:hAnsi="宋体"/>
          <w:sz w:val="28"/>
          <w:szCs w:val="28"/>
        </w:rPr>
        <w:t>，防治结合</w:t>
      </w:r>
      <w:r>
        <w:rPr>
          <w:rFonts w:ascii="宋体" w:hAnsi="宋体"/>
          <w:sz w:val="28"/>
          <w:szCs w:val="28"/>
        </w:rPr>
        <w:t>。加强对环境事故危险源的监测、监控并实施监督管理，建立环境事故风险防范体系，积极预防、及时控制、消除隐患，提高突发性环境污染事故发展全过程的综合管理和紧急处置能力，尽可能地避免或减少突发环境污染事故的发生，消除或减轻环境污染事故造成的中长期影响，最大程度地保障公众健康，保护人民群众生命财产安全。</w:t>
      </w:r>
    </w:p>
    <w:p>
      <w:pPr>
        <w:spacing w:line="360" w:lineRule="auto"/>
        <w:ind w:firstLine="560" w:firstLineChars="200"/>
        <w:rPr>
          <w:rFonts w:ascii="宋体" w:hAnsi="宋体" w:eastAsia="宋体" w:cs="Times New Roman"/>
          <w:kern w:val="2"/>
          <w:sz w:val="28"/>
          <w:szCs w:val="28"/>
        </w:rPr>
      </w:pPr>
      <w:r>
        <w:rPr>
          <w:rFonts w:ascii="宋体" w:hAnsi="宋体" w:eastAsia="宋体" w:cs="Times New Roman"/>
          <w:kern w:val="2"/>
          <w:sz w:val="28"/>
          <w:szCs w:val="28"/>
        </w:rPr>
        <w:t>（</w:t>
      </w:r>
      <w:r>
        <w:rPr>
          <w:rFonts w:hint="eastAsia" w:ascii="宋体" w:hAnsi="宋体" w:eastAsia="宋体" w:cs="Times New Roman"/>
          <w:kern w:val="2"/>
          <w:sz w:val="28"/>
          <w:szCs w:val="28"/>
        </w:rPr>
        <w:t>2</w:t>
      </w:r>
      <w:r>
        <w:rPr>
          <w:rFonts w:ascii="宋体" w:hAnsi="宋体" w:eastAsia="宋体" w:cs="Times New Roman"/>
          <w:kern w:val="2"/>
          <w:sz w:val="28"/>
          <w:szCs w:val="28"/>
        </w:rPr>
        <w:t>）统一领导，分类管理，分级响应。接受政府环保部门的指导，使公司的突发性环境污染事故应急系统成为区域系统的有机组成部分。加强公司各部门之间协同与合作，提高快速反应能力。针对不同污染源所造成的环境污染的特点，实行分类管理，充分发挥部门专业优势，使采取的措施与突发环境污染事故造成的危害范围和社会影响相适应。</w:t>
      </w:r>
    </w:p>
    <w:p>
      <w:pPr>
        <w:spacing w:line="360" w:lineRule="auto"/>
        <w:ind w:firstLine="560" w:firstLineChars="200"/>
        <w:rPr>
          <w:rFonts w:ascii="宋体" w:hAnsi="宋体" w:eastAsia="宋体" w:cs="Times New Roman"/>
          <w:kern w:val="2"/>
          <w:sz w:val="28"/>
          <w:szCs w:val="28"/>
        </w:rPr>
      </w:pPr>
      <w:r>
        <w:rPr>
          <w:rFonts w:ascii="宋体" w:hAnsi="宋体" w:eastAsia="宋体" w:cs="Times New Roman"/>
          <w:kern w:val="2"/>
          <w:sz w:val="28"/>
          <w:szCs w:val="28"/>
        </w:rPr>
        <w:t>（</w:t>
      </w:r>
      <w:r>
        <w:rPr>
          <w:rFonts w:hint="eastAsia" w:ascii="宋体" w:hAnsi="宋体" w:eastAsia="宋体" w:cs="Times New Roman"/>
          <w:kern w:val="2"/>
          <w:sz w:val="28"/>
          <w:szCs w:val="28"/>
        </w:rPr>
        <w:t>3</w:t>
      </w:r>
      <w:r>
        <w:rPr>
          <w:rFonts w:ascii="宋体" w:hAnsi="宋体" w:eastAsia="宋体" w:cs="Times New Roman"/>
          <w:kern w:val="2"/>
          <w:sz w:val="28"/>
          <w:szCs w:val="28"/>
        </w:rPr>
        <w:t>）</w:t>
      </w:r>
      <w:r>
        <w:rPr>
          <w:rFonts w:hint="eastAsia" w:ascii="宋体" w:hAnsi="宋体" w:eastAsia="宋体" w:cs="Times New Roman"/>
          <w:kern w:val="2"/>
          <w:sz w:val="28"/>
          <w:szCs w:val="28"/>
        </w:rPr>
        <w:t>科学应对，高效处置</w:t>
      </w:r>
      <w:r>
        <w:rPr>
          <w:rFonts w:ascii="宋体" w:hAnsi="宋体" w:eastAsia="宋体" w:cs="Times New Roman"/>
          <w:kern w:val="2"/>
          <w:sz w:val="28"/>
          <w:szCs w:val="28"/>
        </w:rPr>
        <w:t>。</w:t>
      </w:r>
      <w:r>
        <w:rPr>
          <w:rFonts w:hint="eastAsia" w:ascii="宋体" w:hAnsi="宋体" w:eastAsia="宋体" w:cs="Times New Roman"/>
          <w:kern w:val="2"/>
          <w:sz w:val="28"/>
          <w:szCs w:val="28"/>
        </w:rPr>
        <w:t>在事故抢险救援中始终将确保人身安全和健康放在第一位，在做好人员防护的情况下，采取科学合理的方法，迅速、有序、高效的开展应急处置，控制、减轻和消除环境危害，减少人员伤亡和经济损失，将事故损失最大限度地降低。</w:t>
      </w:r>
    </w:p>
    <w:p>
      <w:pPr>
        <w:pStyle w:val="18"/>
        <w:ind w:firstLine="0" w:firstLineChars="0"/>
        <w:rPr>
          <w:rFonts w:ascii="宋体" w:hAnsi="宋体"/>
          <w:b/>
          <w:sz w:val="28"/>
          <w:szCs w:val="28"/>
        </w:rPr>
      </w:pPr>
      <w:r>
        <w:rPr>
          <w:rFonts w:hint="eastAsia" w:ascii="宋体" w:hAnsi="宋体"/>
          <w:b/>
          <w:sz w:val="28"/>
          <w:szCs w:val="28"/>
        </w:rPr>
        <w:t>3、编制过程概述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公司抽调专门人员负责预案的编制工作，结合公司实际情况分析，并召开会议进行讨论，充分征求意见，</w:t>
      </w:r>
      <w:r>
        <w:rPr>
          <w:rFonts w:hint="eastAsia" w:ascii="Times New Roman" w:hAnsi="宋体" w:eastAsia="宋体" w:cs="宋体"/>
          <w:sz w:val="28"/>
          <w:szCs w:val="28"/>
        </w:rPr>
        <w:t>在各项调查分析结果的基础上，针对可能发生的环境污染事件类型和影响范围，编制了本应急预案。并组织各部门人员召开了内部陪审会议，根据自评意见进行了相关的修改。修订完成后，公</w:t>
      </w:r>
      <w:r>
        <w:rPr>
          <w:rFonts w:hint="eastAsia" w:ascii="宋体" w:hAnsi="宋体" w:eastAsia="宋体"/>
          <w:sz w:val="28"/>
          <w:szCs w:val="28"/>
        </w:rPr>
        <w:t>司聘请了郭继孝、罗泽娇和王杰三位教授对应急预案进行了最后的评审。公司根据最后的评审意见完善并完成了最终的《武汉汉氏资源循环利用有限公司突发环境事件应急预案》。</w:t>
      </w:r>
    </w:p>
    <w:p>
      <w:pPr>
        <w:spacing w:line="360" w:lineRule="auto"/>
        <w:rPr>
          <w:rFonts w:ascii="Times New Roman" w:hAnsi="宋体" w:eastAsia="宋体" w:cs="宋体"/>
          <w:b/>
          <w:sz w:val="28"/>
          <w:szCs w:val="28"/>
        </w:rPr>
      </w:pPr>
      <w:r>
        <w:rPr>
          <w:rFonts w:hint="eastAsia" w:ascii="Times New Roman" w:hAnsi="宋体" w:eastAsia="宋体" w:cs="宋体"/>
          <w:b/>
          <w:sz w:val="28"/>
          <w:szCs w:val="28"/>
        </w:rPr>
        <w:t>4、预案的主要内容</w:t>
      </w:r>
    </w:p>
    <w:p>
      <w:pPr>
        <w:spacing w:line="360" w:lineRule="auto"/>
        <w:ind w:firstLine="700" w:firstLineChars="250"/>
        <w:rPr>
          <w:rFonts w:ascii="Times New Roman" w:hAnsi="宋体" w:eastAsia="宋体" w:cs="宋体"/>
          <w:sz w:val="28"/>
          <w:szCs w:val="28"/>
        </w:rPr>
      </w:pPr>
      <w:r>
        <w:rPr>
          <w:rFonts w:hint="eastAsia" w:ascii="Times New Roman" w:hAnsi="宋体" w:eastAsia="宋体" w:cs="宋体"/>
          <w:sz w:val="28"/>
          <w:szCs w:val="28"/>
        </w:rPr>
        <w:t>预案分11个部分，分别为：总则、基本情况、突发事故危险源预测和评价、应急救援住机构与职责、预防与预警机制、信息报告与通报、应急处置、培训、责任与奖惩、应急保障、附则。</w:t>
      </w:r>
    </w:p>
    <w:p>
      <w:pPr>
        <w:spacing w:line="360" w:lineRule="auto"/>
        <w:ind w:firstLine="560" w:firstLineChars="200"/>
        <w:rPr>
          <w:rFonts w:ascii="Times New Roman" w:hAnsi="宋体" w:eastAsia="宋体" w:cs="宋体"/>
          <w:sz w:val="28"/>
          <w:szCs w:val="28"/>
        </w:rPr>
      </w:pPr>
      <w:r>
        <w:rPr>
          <w:rFonts w:hint="eastAsia" w:ascii="Times New Roman" w:hAnsi="宋体" w:eastAsia="宋体" w:cs="宋体"/>
          <w:sz w:val="28"/>
          <w:szCs w:val="28"/>
        </w:rPr>
        <w:t>企业基本情况包括：企业的生产情况说明、环境风险源及典型事故类型、生产基本情况、车间及污水处理站工艺、地质地貌、气象特征、地下水环境及公司周边环境情况</w:t>
      </w:r>
    </w:p>
    <w:p>
      <w:pPr>
        <w:spacing w:line="360" w:lineRule="auto"/>
        <w:ind w:firstLine="560" w:firstLineChars="200"/>
        <w:rPr>
          <w:rFonts w:ascii="Times New Roman" w:hAnsi="宋体" w:eastAsia="宋体"/>
          <w:sz w:val="28"/>
          <w:szCs w:val="28"/>
        </w:rPr>
      </w:pPr>
      <w:r>
        <w:rPr>
          <w:rFonts w:hint="eastAsia" w:ascii="Times New Roman" w:hAnsi="宋体" w:eastAsia="宋体" w:cs="宋体"/>
          <w:sz w:val="28"/>
          <w:szCs w:val="28"/>
        </w:rPr>
        <w:t>危险源预测和评价包括：危险源的识别风险源事故预测与分析、环境风险事故类型及事故后果分析。</w:t>
      </w:r>
    </w:p>
    <w:p>
      <w:pPr>
        <w:spacing w:line="360" w:lineRule="auto"/>
        <w:ind w:firstLine="560" w:firstLineChars="200"/>
        <w:rPr>
          <w:rFonts w:ascii="Times New Roman" w:hAnsi="Times New Roman" w:eastAsia="宋体"/>
          <w:sz w:val="28"/>
          <w:szCs w:val="28"/>
        </w:rPr>
      </w:pPr>
      <w:r>
        <w:rPr>
          <w:rFonts w:hint="eastAsia" w:ascii="Times New Roman" w:hAnsi="宋体" w:eastAsia="宋体" w:cs="宋体"/>
          <w:sz w:val="28"/>
          <w:szCs w:val="28"/>
        </w:rPr>
        <w:t>应急组织机构和职责包括：公司为处理突发环境事件设立的应急组织机构即应急救援指挥部、通讯联络组、物资供应组、应急抢险救援组、应急疏散组、医疗救护组、环境监测组以及各应急小组的职责；</w:t>
      </w:r>
    </w:p>
    <w:p>
      <w:pPr>
        <w:spacing w:line="360" w:lineRule="auto"/>
        <w:ind w:firstLine="560" w:firstLineChars="200"/>
        <w:rPr>
          <w:rFonts w:ascii="Times New Roman" w:hAnsi="宋体" w:eastAsia="宋体" w:cs="宋体"/>
          <w:sz w:val="28"/>
          <w:szCs w:val="28"/>
        </w:rPr>
      </w:pPr>
      <w:r>
        <w:rPr>
          <w:rFonts w:hint="eastAsia" w:ascii="Times New Roman" w:hAnsi="宋体" w:eastAsia="宋体" w:cs="宋体"/>
          <w:sz w:val="28"/>
          <w:szCs w:val="28"/>
        </w:rPr>
        <w:t>预防与预警机制包括：风险源监控措施、各风险区域的预防措施、并按照突发环境污染事件的严重性、紧急程度和可能涉及的范围，将突发环境污染事件的预警级别分为四级、预警发布及解除的程序、进入预警状态后，根据发布的预警级别，公司应急组织机构采取的预警行动；</w:t>
      </w:r>
    </w:p>
    <w:p>
      <w:pPr>
        <w:spacing w:line="360" w:lineRule="auto"/>
        <w:ind w:firstLine="560" w:firstLineChars="200"/>
        <w:rPr>
          <w:rFonts w:ascii="Times New Roman" w:hAnsi="Times New Roman" w:eastAsia="宋体"/>
          <w:sz w:val="28"/>
          <w:szCs w:val="28"/>
        </w:rPr>
      </w:pPr>
      <w:r>
        <w:rPr>
          <w:rFonts w:hint="eastAsia" w:ascii="Times New Roman" w:hAnsi="宋体" w:eastAsia="宋体" w:cs="宋体"/>
          <w:sz w:val="28"/>
          <w:szCs w:val="28"/>
        </w:rPr>
        <w:t>信息报告与通报：公司内部上报与信息上报、信息通报的联络方式。</w:t>
      </w:r>
    </w:p>
    <w:p>
      <w:pPr>
        <w:spacing w:line="360" w:lineRule="auto"/>
        <w:ind w:firstLine="560" w:firstLineChars="200"/>
        <w:rPr>
          <w:rFonts w:ascii="Times New Roman" w:hAnsi="宋体" w:eastAsia="宋体" w:cs="宋体"/>
          <w:sz w:val="28"/>
          <w:szCs w:val="28"/>
        </w:rPr>
      </w:pPr>
      <w:r>
        <w:rPr>
          <w:rFonts w:hint="eastAsia" w:ascii="Times New Roman" w:hAnsi="宋体" w:eastAsia="宋体" w:cs="宋体"/>
          <w:sz w:val="28"/>
          <w:szCs w:val="28"/>
        </w:rPr>
        <w:t>应急处置包括：分级相应机制、应急措施、突发事件现场应急措施、火灾应急相应预案、人员紧急疏散和撤离措施、危险区隔离应急措施、受伤人员现场救护、救治与医院救治、应急监测、应急终止、善后处置。</w:t>
      </w:r>
    </w:p>
    <w:p>
      <w:pPr>
        <w:spacing w:line="360" w:lineRule="auto"/>
        <w:ind w:firstLine="560" w:firstLineChars="200"/>
        <w:rPr>
          <w:rFonts w:ascii="Times New Roman" w:hAnsi="宋体" w:eastAsia="宋体" w:cs="宋体"/>
          <w:sz w:val="28"/>
          <w:szCs w:val="28"/>
        </w:rPr>
      </w:pPr>
      <w:r>
        <w:rPr>
          <w:rFonts w:hint="eastAsia" w:ascii="Times New Roman" w:hAnsi="宋体" w:eastAsia="宋体" w:cs="宋体"/>
          <w:sz w:val="28"/>
          <w:szCs w:val="28"/>
        </w:rPr>
        <w:t>培训包括部门培训、演练、监督管理</w:t>
      </w:r>
    </w:p>
    <w:p>
      <w:pPr>
        <w:spacing w:line="360" w:lineRule="auto"/>
        <w:ind w:firstLine="560" w:firstLineChars="200"/>
        <w:rPr>
          <w:rFonts w:ascii="Times New Roman" w:hAnsi="宋体" w:eastAsia="宋体" w:cs="宋体"/>
          <w:sz w:val="28"/>
          <w:szCs w:val="28"/>
        </w:rPr>
      </w:pPr>
      <w:r>
        <w:rPr>
          <w:rFonts w:hint="eastAsia" w:ascii="Times New Roman" w:hAnsi="宋体" w:eastAsia="宋体" w:cs="宋体"/>
          <w:sz w:val="28"/>
          <w:szCs w:val="28"/>
        </w:rPr>
        <w:t>责任与奖惩</w:t>
      </w:r>
    </w:p>
    <w:p>
      <w:pPr>
        <w:spacing w:line="360" w:lineRule="auto"/>
        <w:ind w:firstLine="560" w:firstLineChars="200"/>
        <w:rPr>
          <w:rFonts w:ascii="Times New Roman" w:hAnsi="Times New Roman" w:eastAsia="宋体"/>
          <w:sz w:val="28"/>
          <w:szCs w:val="28"/>
        </w:rPr>
      </w:pPr>
      <w:r>
        <w:rPr>
          <w:rFonts w:hint="eastAsia" w:ascii="Times New Roman" w:hAnsi="宋体" w:eastAsia="宋体" w:cs="宋体"/>
          <w:sz w:val="28"/>
          <w:szCs w:val="28"/>
        </w:rPr>
        <w:t>应急保障包括：通讯 保障、应急物质保障、应急队伍保障、经费保障、医疗卫生保障、交通运输保障及技术保障。</w:t>
      </w:r>
    </w:p>
    <w:p>
      <w:pPr>
        <w:spacing w:line="360" w:lineRule="auto"/>
        <w:rPr>
          <w:rFonts w:ascii="Times New Roman" w:hAnsi="Times New Roman" w:eastAsia="宋体"/>
          <w:b/>
          <w:sz w:val="28"/>
          <w:szCs w:val="28"/>
        </w:rPr>
      </w:pPr>
      <w:r>
        <w:rPr>
          <w:rFonts w:hint="eastAsia" w:ascii="Times New Roman" w:hAnsi="宋体" w:eastAsia="宋体" w:cs="宋体"/>
          <w:b/>
          <w:sz w:val="28"/>
          <w:szCs w:val="28"/>
        </w:rPr>
        <w:t>5、征求意见及采纳情况说明</w:t>
      </w:r>
    </w:p>
    <w:p>
      <w:pPr>
        <w:spacing w:line="360" w:lineRule="auto"/>
        <w:ind w:firstLine="560" w:firstLineChars="200"/>
        <w:rPr>
          <w:rFonts w:ascii="Times New Roman" w:hAnsi="Times New Roman" w:eastAsia="宋体"/>
          <w:sz w:val="28"/>
          <w:szCs w:val="28"/>
        </w:rPr>
      </w:pPr>
      <w:r>
        <w:rPr>
          <w:rFonts w:hint="eastAsia" w:ascii="Times New Roman" w:hAnsi="宋体" w:eastAsia="宋体" w:cs="宋体"/>
          <w:sz w:val="28"/>
          <w:szCs w:val="28"/>
        </w:rPr>
        <w:t>在应急预案编制过程中征求员工的意见，并对他们提出的意见进行解释，针对可能发生的事件，特别是现场处置等内容，广泛征求了各部门、车间、现场操作人员的意见与建议，对合理的意见进行采纳并对应急预案的相关内容修改完善。</w:t>
      </w:r>
    </w:p>
    <w:p>
      <w:pPr>
        <w:spacing w:line="360" w:lineRule="auto"/>
        <w:rPr>
          <w:rFonts w:ascii="Times New Roman" w:hAnsi="Times New Roman" w:eastAsia="宋体"/>
          <w:b/>
          <w:sz w:val="28"/>
          <w:szCs w:val="28"/>
        </w:rPr>
      </w:pPr>
      <w:r>
        <w:rPr>
          <w:rFonts w:hint="eastAsia" w:ascii="Times New Roman" w:hAnsi="宋体" w:eastAsia="宋体" w:cs="宋体"/>
          <w:b/>
          <w:sz w:val="28"/>
          <w:szCs w:val="28"/>
        </w:rPr>
        <w:t>6、评审情况说明</w:t>
      </w:r>
    </w:p>
    <w:p>
      <w:pPr>
        <w:spacing w:line="360" w:lineRule="auto"/>
        <w:ind w:firstLine="560" w:firstLineChars="200"/>
        <w:rPr>
          <w:rFonts w:ascii="Times New Roman" w:hAnsi="Times New Roman" w:eastAsia="宋体"/>
          <w:sz w:val="28"/>
          <w:szCs w:val="28"/>
        </w:rPr>
      </w:pPr>
      <w:r>
        <w:rPr>
          <w:rFonts w:hint="eastAsia" w:ascii="Times New Roman" w:hAnsi="宋体" w:eastAsia="宋体" w:cs="宋体"/>
          <w:sz w:val="28"/>
          <w:szCs w:val="28"/>
        </w:rPr>
        <w:t>预案编制完成后，公司组织了各部门人员召开了内部陪审会议，根据自评意见进行了相关的修改，修订完成。公司于</w:t>
      </w:r>
      <w:r>
        <w:rPr>
          <w:rFonts w:hint="eastAsia" w:ascii="Times New Roman" w:hAnsi="Times New Roman" w:eastAsia="宋体" w:cs="Times New Roman"/>
          <w:sz w:val="28"/>
          <w:szCs w:val="28"/>
        </w:rPr>
        <w:t>2019</w:t>
      </w:r>
      <w:r>
        <w:rPr>
          <w:rFonts w:hint="eastAsia" w:ascii="Times New Roman" w:hAnsi="宋体" w:eastAsia="宋体" w:cs="宋体"/>
          <w:sz w:val="28"/>
          <w:szCs w:val="28"/>
        </w:rPr>
        <w:t>年</w:t>
      </w:r>
      <w:r>
        <w:rPr>
          <w:rFonts w:hint="eastAsia" w:ascii="Times New Roman" w:hAnsi="Times New Roman" w:eastAsia="宋体" w:cs="Times New Roman"/>
          <w:sz w:val="28"/>
          <w:szCs w:val="28"/>
        </w:rPr>
        <w:t>11</w:t>
      </w:r>
      <w:r>
        <w:rPr>
          <w:rFonts w:hint="eastAsia" w:ascii="Times New Roman" w:hAnsi="宋体" w:eastAsia="宋体" w:cs="宋体"/>
          <w:sz w:val="28"/>
          <w:szCs w:val="28"/>
        </w:rPr>
        <w:t>月</w:t>
      </w:r>
      <w:r>
        <w:rPr>
          <w:rFonts w:hint="eastAsia" w:ascii="Times New Roman" w:hAnsi="Times New Roman" w:eastAsia="宋体" w:cs="Times New Roman"/>
          <w:sz w:val="28"/>
          <w:szCs w:val="28"/>
        </w:rPr>
        <w:t>18</w:t>
      </w:r>
      <w:r>
        <w:rPr>
          <w:rFonts w:hint="eastAsia" w:ascii="Times New Roman" w:hAnsi="宋体" w:eastAsia="宋体" w:cs="宋体"/>
          <w:sz w:val="28"/>
          <w:szCs w:val="28"/>
        </w:rPr>
        <w:t>日组织召开了应急预案评估会议，参加会议的人员有：</w:t>
      </w:r>
      <w:r>
        <w:rPr>
          <w:rFonts w:hint="eastAsia" w:ascii="Times New Roman" w:hAnsi="宋体" w:eastAsia="宋体" w:cs="Times New Roman"/>
          <w:sz w:val="28"/>
          <w:szCs w:val="28"/>
        </w:rPr>
        <w:t>武汉汉氏资源循环利用有限</w:t>
      </w:r>
      <w:r>
        <w:rPr>
          <w:rFonts w:hint="eastAsia" w:ascii="Times New Roman" w:hAnsi="宋体" w:eastAsia="宋体" w:cs="宋体"/>
          <w:sz w:val="28"/>
          <w:szCs w:val="28"/>
        </w:rPr>
        <w:t>公司负责人和分管负责人、应急预案编制单位负责人和编制人、及</w:t>
      </w:r>
      <w:r>
        <w:rPr>
          <w:rFonts w:ascii="Times New Roman" w:hAnsi="Times New Roman" w:eastAsia="宋体" w:cs="Times New Roman"/>
          <w:sz w:val="28"/>
          <w:szCs w:val="28"/>
        </w:rPr>
        <w:t>3</w:t>
      </w:r>
      <w:r>
        <w:rPr>
          <w:rFonts w:hint="eastAsia" w:ascii="Times New Roman" w:hAnsi="宋体" w:eastAsia="宋体" w:cs="宋体"/>
          <w:sz w:val="28"/>
          <w:szCs w:val="28"/>
        </w:rPr>
        <w:t>名应急预案管理和专业技术方面的专家等，会议上成立了应急预案评估小组。</w:t>
      </w:r>
    </w:p>
    <w:p>
      <w:pPr>
        <w:spacing w:line="360" w:lineRule="auto"/>
        <w:ind w:firstLine="560" w:firstLineChars="200"/>
        <w:rPr>
          <w:rFonts w:ascii="Times New Roman" w:hAnsi="宋体" w:eastAsia="宋体"/>
          <w:sz w:val="28"/>
          <w:szCs w:val="28"/>
        </w:rPr>
      </w:pPr>
      <w:r>
        <w:rPr>
          <w:rFonts w:hint="eastAsia" w:ascii="Times New Roman" w:hAnsi="宋体" w:eastAsia="宋体" w:cs="宋体"/>
          <w:sz w:val="28"/>
          <w:szCs w:val="28"/>
        </w:rPr>
        <w:t>专家组对本预案评审结果如下：《武汉汉氏资源循环利用有限公司突发环境事故风险评估报告》、《应急预案》、《应急资源调查报告》的编制</w:t>
      </w:r>
      <w:r>
        <w:rPr>
          <w:rFonts w:ascii="Times New Roman" w:hAnsi="宋体" w:eastAsia="宋体"/>
          <w:sz w:val="28"/>
          <w:szCs w:val="28"/>
        </w:rPr>
        <w:t xml:space="preserve"> </w:t>
      </w:r>
      <w:r>
        <w:rPr>
          <w:rFonts w:hint="eastAsia" w:ascii="Times New Roman" w:hAnsi="宋体" w:eastAsia="宋体"/>
          <w:sz w:val="28"/>
          <w:szCs w:val="28"/>
        </w:rPr>
        <w:t>符合相关规范、标准要求，内容较全面。与企业实际情况相符合，环境风险应急措施具有一定针对性和可操作性，应急物质储备基本满足应急措施需求，公司突发环境事件风险评估报告及应急预案总体具备备案要求，经完善相关内容后可申请 办理备案手续。</w:t>
      </w:r>
    </w:p>
    <w:p>
      <w:pPr>
        <w:spacing w:line="360" w:lineRule="auto"/>
        <w:jc w:val="right"/>
        <w:rPr>
          <w:rFonts w:ascii="Times New Roman" w:hAnsi="宋体" w:eastAsia="宋体"/>
          <w:sz w:val="28"/>
          <w:szCs w:val="28"/>
        </w:rPr>
      </w:pPr>
      <w:r>
        <w:rPr>
          <w:rFonts w:hint="eastAsia" w:ascii="Times New Roman" w:hAnsi="宋体" w:eastAsia="宋体" w:cs="Times New Roman"/>
          <w:sz w:val="28"/>
          <w:szCs w:val="28"/>
        </w:rPr>
        <w:t>武汉汉氏资源循环利用有限</w:t>
      </w:r>
      <w:r>
        <w:rPr>
          <w:rFonts w:hint="eastAsia" w:ascii="Times New Roman" w:hAnsi="宋体" w:eastAsia="宋体" w:cs="宋体"/>
          <w:sz w:val="28"/>
          <w:szCs w:val="28"/>
        </w:rPr>
        <w:t>公司</w:t>
      </w:r>
    </w:p>
    <w:p>
      <w:pPr>
        <w:spacing w:line="360" w:lineRule="auto"/>
        <w:jc w:val="right"/>
        <w:rPr>
          <w:rFonts w:ascii="Times New Roman" w:hAnsi="Times New Roman" w:eastAsia="宋体"/>
          <w:sz w:val="28"/>
          <w:szCs w:val="28"/>
        </w:rPr>
      </w:pPr>
      <w:r>
        <w:rPr>
          <w:rFonts w:ascii="Times New Roman" w:hAnsi="宋体" w:eastAsia="宋体" w:cs="Times New Roman"/>
          <w:sz w:val="28"/>
          <w:szCs w:val="28"/>
        </w:rPr>
        <w:t>2019</w:t>
      </w:r>
      <w:r>
        <w:rPr>
          <w:rFonts w:hint="eastAsia" w:ascii="Times New Roman" w:hAnsi="宋体" w:eastAsia="宋体" w:cs="宋体"/>
          <w:sz w:val="28"/>
          <w:szCs w:val="28"/>
        </w:rPr>
        <w:t>年</w:t>
      </w:r>
      <w:r>
        <w:rPr>
          <w:rFonts w:hint="eastAsia" w:ascii="Times New Roman" w:hAnsi="宋体" w:eastAsia="宋体" w:cs="Times New Roman"/>
          <w:sz w:val="28"/>
          <w:szCs w:val="28"/>
        </w:rPr>
        <w:t>11</w:t>
      </w:r>
      <w:r>
        <w:rPr>
          <w:rFonts w:hint="eastAsia" w:ascii="Times New Roman" w:hAnsi="宋体" w:eastAsia="宋体" w:cs="宋体"/>
          <w:sz w:val="28"/>
          <w:szCs w:val="28"/>
        </w:rPr>
        <w:t>月</w:t>
      </w:r>
      <w:r>
        <w:rPr>
          <w:rFonts w:hint="eastAsia" w:ascii="Times New Roman" w:hAnsi="宋体" w:eastAsia="宋体" w:cs="Times New Roman"/>
          <w:sz w:val="28"/>
          <w:szCs w:val="28"/>
        </w:rPr>
        <w:t>20</w:t>
      </w:r>
      <w:r>
        <w:rPr>
          <w:rFonts w:hint="eastAsia" w:ascii="Times New Roman" w:hAnsi="宋体" w:eastAsia="宋体" w:cs="宋体"/>
          <w:sz w:val="28"/>
          <w:szCs w:val="28"/>
        </w:rPr>
        <w:t>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7032C"/>
    <w:multiLevelType w:val="multilevel"/>
    <w:tmpl w:val="6907032C"/>
    <w:lvl w:ilvl="0" w:tentative="0">
      <w:start w:val="1"/>
      <w:numFmt w:val="decimal"/>
      <w:pStyle w:val="15"/>
      <w:lvlText w:val="%1"/>
      <w:lvlJc w:val="left"/>
      <w:pPr>
        <w:tabs>
          <w:tab w:val="left" w:pos="432"/>
        </w:tabs>
        <w:ind w:left="432" w:hanging="432"/>
      </w:pPr>
      <w:rPr>
        <w:rFonts w:hint="default" w:ascii="Times New Roman" w:hAnsi="Times New Roman" w:eastAsia="仿宋" w:cs="Times New Roman"/>
        <w:sz w:val="28"/>
        <w:szCs w:val="28"/>
      </w:rPr>
    </w:lvl>
    <w:lvl w:ilvl="1" w:tentative="0">
      <w:start w:val="1"/>
      <w:numFmt w:val="decimal"/>
      <w:pStyle w:val="16"/>
      <w:lvlText w:val="%1.%2"/>
      <w:lvlJc w:val="left"/>
      <w:pPr>
        <w:tabs>
          <w:tab w:val="left" w:pos="718"/>
        </w:tabs>
        <w:ind w:left="718" w:hanging="576"/>
      </w:pPr>
      <w:rPr>
        <w:rFonts w:hint="default" w:ascii="Times New Roman" w:hAnsi="Times New Roman" w:eastAsia="黑体" w:cs="Times New Roman"/>
        <w:b/>
        <w:bCs w:val="0"/>
        <w:i w:val="0"/>
        <w:sz w:val="28"/>
        <w:szCs w:val="28"/>
      </w:rPr>
    </w:lvl>
    <w:lvl w:ilvl="2" w:tentative="0">
      <w:start w:val="1"/>
      <w:numFmt w:val="decimal"/>
      <w:pStyle w:val="17"/>
      <w:lvlText w:val="%1.%2.%3"/>
      <w:lvlJc w:val="left"/>
      <w:pPr>
        <w:tabs>
          <w:tab w:val="left" w:pos="3544"/>
        </w:tabs>
        <w:ind w:left="3544" w:firstLine="0"/>
      </w:pPr>
      <w:rPr>
        <w:rFonts w:hint="eastAsia"/>
        <w:b/>
        <w:bCs w:val="0"/>
        <w:sz w:val="24"/>
        <w:szCs w:val="24"/>
      </w:rPr>
    </w:lvl>
    <w:lvl w:ilvl="3" w:tentative="0">
      <w:start w:val="1"/>
      <w:numFmt w:val="decimal"/>
      <w:pStyle w:val="19"/>
      <w:lvlText w:val="%1.%2.%3.%4"/>
      <w:lvlJc w:val="left"/>
      <w:pPr>
        <w:tabs>
          <w:tab w:val="left" w:pos="3171"/>
        </w:tabs>
        <w:ind w:left="3171" w:hanging="1044"/>
      </w:pPr>
      <w:rPr>
        <w:rFonts w:hint="default" w:ascii="Times New Roman" w:hAnsi="Times New Roman" w:cs="Times New Roman"/>
        <w:b w:val="0"/>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B62"/>
    <w:rsid w:val="000137B8"/>
    <w:rsid w:val="00014D07"/>
    <w:rsid w:val="00024F9D"/>
    <w:rsid w:val="00026B62"/>
    <w:rsid w:val="00031008"/>
    <w:rsid w:val="00036DC3"/>
    <w:rsid w:val="000430F4"/>
    <w:rsid w:val="00045B44"/>
    <w:rsid w:val="00060EED"/>
    <w:rsid w:val="00074A86"/>
    <w:rsid w:val="0008749C"/>
    <w:rsid w:val="000A2D89"/>
    <w:rsid w:val="000B38FD"/>
    <w:rsid w:val="000B50CA"/>
    <w:rsid w:val="000B6560"/>
    <w:rsid w:val="000B6AD9"/>
    <w:rsid w:val="000D1220"/>
    <w:rsid w:val="000F2783"/>
    <w:rsid w:val="001278BD"/>
    <w:rsid w:val="00133E6E"/>
    <w:rsid w:val="001471CD"/>
    <w:rsid w:val="0015783E"/>
    <w:rsid w:val="001664F8"/>
    <w:rsid w:val="00167CCF"/>
    <w:rsid w:val="00171EFE"/>
    <w:rsid w:val="00176E2A"/>
    <w:rsid w:val="00191507"/>
    <w:rsid w:val="00194ED6"/>
    <w:rsid w:val="001A2A0C"/>
    <w:rsid w:val="001A4659"/>
    <w:rsid w:val="001A7726"/>
    <w:rsid w:val="001C419D"/>
    <w:rsid w:val="001D2144"/>
    <w:rsid w:val="001E6DCA"/>
    <w:rsid w:val="001F03A6"/>
    <w:rsid w:val="001F677F"/>
    <w:rsid w:val="002006AF"/>
    <w:rsid w:val="00200C34"/>
    <w:rsid w:val="00211E39"/>
    <w:rsid w:val="00212A56"/>
    <w:rsid w:val="002279ED"/>
    <w:rsid w:val="0023383F"/>
    <w:rsid w:val="00233CB1"/>
    <w:rsid w:val="0024203D"/>
    <w:rsid w:val="00244281"/>
    <w:rsid w:val="00255D4A"/>
    <w:rsid w:val="00261B60"/>
    <w:rsid w:val="00261D17"/>
    <w:rsid w:val="0027143B"/>
    <w:rsid w:val="00280556"/>
    <w:rsid w:val="00296D5E"/>
    <w:rsid w:val="00297E81"/>
    <w:rsid w:val="002C3A46"/>
    <w:rsid w:val="002C465D"/>
    <w:rsid w:val="002D076F"/>
    <w:rsid w:val="002D22F8"/>
    <w:rsid w:val="002D5131"/>
    <w:rsid w:val="00323B43"/>
    <w:rsid w:val="0032432B"/>
    <w:rsid w:val="003279A9"/>
    <w:rsid w:val="003370F4"/>
    <w:rsid w:val="00337FC5"/>
    <w:rsid w:val="003523FF"/>
    <w:rsid w:val="003610E0"/>
    <w:rsid w:val="003978CE"/>
    <w:rsid w:val="003A6475"/>
    <w:rsid w:val="003C4452"/>
    <w:rsid w:val="003C73D0"/>
    <w:rsid w:val="003D1708"/>
    <w:rsid w:val="003D3551"/>
    <w:rsid w:val="003D37D8"/>
    <w:rsid w:val="003D6A00"/>
    <w:rsid w:val="003E7032"/>
    <w:rsid w:val="004358AB"/>
    <w:rsid w:val="0045077B"/>
    <w:rsid w:val="004512D5"/>
    <w:rsid w:val="00453A35"/>
    <w:rsid w:val="00463A5F"/>
    <w:rsid w:val="00480AF2"/>
    <w:rsid w:val="0049414A"/>
    <w:rsid w:val="004A6C68"/>
    <w:rsid w:val="004C118B"/>
    <w:rsid w:val="004C17EA"/>
    <w:rsid w:val="004D2F6A"/>
    <w:rsid w:val="004D39DE"/>
    <w:rsid w:val="004E4C77"/>
    <w:rsid w:val="00513598"/>
    <w:rsid w:val="0053486E"/>
    <w:rsid w:val="0054595A"/>
    <w:rsid w:val="00562D82"/>
    <w:rsid w:val="005929D3"/>
    <w:rsid w:val="005B3B84"/>
    <w:rsid w:val="005C5F1F"/>
    <w:rsid w:val="005D3FBF"/>
    <w:rsid w:val="00605DA3"/>
    <w:rsid w:val="00611BDE"/>
    <w:rsid w:val="0062493D"/>
    <w:rsid w:val="006301C0"/>
    <w:rsid w:val="00633CCA"/>
    <w:rsid w:val="006442E9"/>
    <w:rsid w:val="00697355"/>
    <w:rsid w:val="006A3A5A"/>
    <w:rsid w:val="006B160A"/>
    <w:rsid w:val="006C1AE8"/>
    <w:rsid w:val="006E3921"/>
    <w:rsid w:val="00700AB6"/>
    <w:rsid w:val="007016E6"/>
    <w:rsid w:val="00742D7D"/>
    <w:rsid w:val="00755D34"/>
    <w:rsid w:val="00762FC3"/>
    <w:rsid w:val="00781BD9"/>
    <w:rsid w:val="00781C3E"/>
    <w:rsid w:val="007B1D80"/>
    <w:rsid w:val="007D26C4"/>
    <w:rsid w:val="007D6AC5"/>
    <w:rsid w:val="007E2E04"/>
    <w:rsid w:val="007E54BE"/>
    <w:rsid w:val="00816AAC"/>
    <w:rsid w:val="008523ED"/>
    <w:rsid w:val="00872137"/>
    <w:rsid w:val="008768B3"/>
    <w:rsid w:val="00880BDE"/>
    <w:rsid w:val="00893590"/>
    <w:rsid w:val="008B7726"/>
    <w:rsid w:val="008E7C8F"/>
    <w:rsid w:val="00910FCC"/>
    <w:rsid w:val="00911D9C"/>
    <w:rsid w:val="009146FC"/>
    <w:rsid w:val="00915CDB"/>
    <w:rsid w:val="00932E49"/>
    <w:rsid w:val="00935003"/>
    <w:rsid w:val="0094007A"/>
    <w:rsid w:val="00940A68"/>
    <w:rsid w:val="009560FB"/>
    <w:rsid w:val="00974492"/>
    <w:rsid w:val="00977BFB"/>
    <w:rsid w:val="009808E0"/>
    <w:rsid w:val="00980AA1"/>
    <w:rsid w:val="009B275F"/>
    <w:rsid w:val="009D506E"/>
    <w:rsid w:val="009D630C"/>
    <w:rsid w:val="009E018F"/>
    <w:rsid w:val="009E3C5D"/>
    <w:rsid w:val="009E4F70"/>
    <w:rsid w:val="009F753A"/>
    <w:rsid w:val="00A052A6"/>
    <w:rsid w:val="00A0690D"/>
    <w:rsid w:val="00A40847"/>
    <w:rsid w:val="00A40BF5"/>
    <w:rsid w:val="00A43832"/>
    <w:rsid w:val="00A703CF"/>
    <w:rsid w:val="00AA4E1B"/>
    <w:rsid w:val="00AF3FF5"/>
    <w:rsid w:val="00B0407A"/>
    <w:rsid w:val="00B07DF8"/>
    <w:rsid w:val="00B31B4E"/>
    <w:rsid w:val="00B363DD"/>
    <w:rsid w:val="00B536F8"/>
    <w:rsid w:val="00B613E2"/>
    <w:rsid w:val="00B73243"/>
    <w:rsid w:val="00B76AD3"/>
    <w:rsid w:val="00B84CFF"/>
    <w:rsid w:val="00B87C70"/>
    <w:rsid w:val="00B97106"/>
    <w:rsid w:val="00BA4F73"/>
    <w:rsid w:val="00BB3DBF"/>
    <w:rsid w:val="00BE22B3"/>
    <w:rsid w:val="00BF12A2"/>
    <w:rsid w:val="00C04196"/>
    <w:rsid w:val="00C10E0D"/>
    <w:rsid w:val="00C371B6"/>
    <w:rsid w:val="00C37501"/>
    <w:rsid w:val="00C40B8C"/>
    <w:rsid w:val="00C73ACD"/>
    <w:rsid w:val="00C75B4A"/>
    <w:rsid w:val="00C831E7"/>
    <w:rsid w:val="00C87384"/>
    <w:rsid w:val="00CA4895"/>
    <w:rsid w:val="00CA5A8C"/>
    <w:rsid w:val="00CB2DD7"/>
    <w:rsid w:val="00CB6762"/>
    <w:rsid w:val="00CC29E7"/>
    <w:rsid w:val="00CE223D"/>
    <w:rsid w:val="00CF0BD5"/>
    <w:rsid w:val="00D07FF8"/>
    <w:rsid w:val="00D56408"/>
    <w:rsid w:val="00D859C2"/>
    <w:rsid w:val="00D869CD"/>
    <w:rsid w:val="00D9757D"/>
    <w:rsid w:val="00D975E4"/>
    <w:rsid w:val="00DA1A56"/>
    <w:rsid w:val="00DB6265"/>
    <w:rsid w:val="00DE1CE8"/>
    <w:rsid w:val="00DF0E19"/>
    <w:rsid w:val="00DF477F"/>
    <w:rsid w:val="00E046A9"/>
    <w:rsid w:val="00E05EC8"/>
    <w:rsid w:val="00E123DB"/>
    <w:rsid w:val="00E164B2"/>
    <w:rsid w:val="00E26513"/>
    <w:rsid w:val="00E372B2"/>
    <w:rsid w:val="00E508CC"/>
    <w:rsid w:val="00E50BCF"/>
    <w:rsid w:val="00E524B9"/>
    <w:rsid w:val="00E5525C"/>
    <w:rsid w:val="00E76ECF"/>
    <w:rsid w:val="00E96AF8"/>
    <w:rsid w:val="00EB4187"/>
    <w:rsid w:val="00EC6117"/>
    <w:rsid w:val="00EE07A0"/>
    <w:rsid w:val="00EE0CF7"/>
    <w:rsid w:val="00EE235E"/>
    <w:rsid w:val="00F03F81"/>
    <w:rsid w:val="00F33459"/>
    <w:rsid w:val="00F35B3B"/>
    <w:rsid w:val="00F7114B"/>
    <w:rsid w:val="00F82E08"/>
    <w:rsid w:val="00F84A39"/>
    <w:rsid w:val="00F853FC"/>
    <w:rsid w:val="00F917D7"/>
    <w:rsid w:val="00F92CE4"/>
    <w:rsid w:val="00FC1DEA"/>
    <w:rsid w:val="00FD4CF0"/>
    <w:rsid w:val="00FF0758"/>
    <w:rsid w:val="00FF0CC6"/>
    <w:rsid w:val="076541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style>
  <w:style w:type="paragraph" w:styleId="3">
    <w:name w:val="Balloon Text"/>
    <w:basedOn w:val="1"/>
    <w:link w:val="14"/>
    <w:semiHidden/>
    <w:qFormat/>
    <w:uiPriority w:val="99"/>
    <w:pPr>
      <w:spacing w:after="0"/>
    </w:pPr>
    <w:rPr>
      <w:sz w:val="18"/>
      <w:szCs w:val="18"/>
    </w:rPr>
  </w:style>
  <w:style w:type="paragraph" w:styleId="4">
    <w:name w:val="footer"/>
    <w:basedOn w:val="1"/>
    <w:link w:val="11"/>
    <w:qFormat/>
    <w:uiPriority w:val="99"/>
    <w:pPr>
      <w:tabs>
        <w:tab w:val="center" w:pos="4153"/>
        <w:tab w:val="right" w:pos="8306"/>
      </w:tabs>
    </w:pPr>
    <w:rPr>
      <w:sz w:val="18"/>
      <w:szCs w:val="18"/>
    </w:rPr>
  </w:style>
  <w:style w:type="paragraph" w:styleId="5">
    <w:name w:val="header"/>
    <w:basedOn w:val="1"/>
    <w:link w:val="10"/>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3"/>
    <w:semiHidden/>
    <w:qFormat/>
    <w:uiPriority w:val="99"/>
    <w:rPr>
      <w:b/>
      <w:bCs/>
    </w:rPr>
  </w:style>
  <w:style w:type="character" w:styleId="9">
    <w:name w:val="annotation reference"/>
    <w:basedOn w:val="8"/>
    <w:semiHidden/>
    <w:qFormat/>
    <w:uiPriority w:val="99"/>
    <w:rPr>
      <w:sz w:val="21"/>
      <w:szCs w:val="21"/>
    </w:rPr>
  </w:style>
  <w:style w:type="character" w:customStyle="1" w:styleId="10">
    <w:name w:val="页眉 Char"/>
    <w:basedOn w:val="8"/>
    <w:link w:val="5"/>
    <w:qFormat/>
    <w:locked/>
    <w:uiPriority w:val="99"/>
    <w:rPr>
      <w:rFonts w:ascii="Tahoma" w:hAnsi="Tahoma" w:cs="Tahoma"/>
      <w:sz w:val="18"/>
      <w:szCs w:val="18"/>
    </w:rPr>
  </w:style>
  <w:style w:type="character" w:customStyle="1" w:styleId="11">
    <w:name w:val="页脚 Char"/>
    <w:basedOn w:val="8"/>
    <w:link w:val="4"/>
    <w:qFormat/>
    <w:locked/>
    <w:uiPriority w:val="99"/>
    <w:rPr>
      <w:rFonts w:ascii="Tahoma" w:hAnsi="Tahoma" w:cs="Tahoma"/>
      <w:sz w:val="18"/>
      <w:szCs w:val="18"/>
    </w:rPr>
  </w:style>
  <w:style w:type="character" w:customStyle="1" w:styleId="12">
    <w:name w:val="批注文字 Char"/>
    <w:basedOn w:val="8"/>
    <w:link w:val="2"/>
    <w:semiHidden/>
    <w:qFormat/>
    <w:locked/>
    <w:uiPriority w:val="99"/>
    <w:rPr>
      <w:rFonts w:ascii="Tahoma" w:hAnsi="Tahoma" w:cs="Tahoma"/>
    </w:rPr>
  </w:style>
  <w:style w:type="character" w:customStyle="1" w:styleId="13">
    <w:name w:val="批注主题 Char"/>
    <w:basedOn w:val="12"/>
    <w:link w:val="6"/>
    <w:semiHidden/>
    <w:qFormat/>
    <w:locked/>
    <w:uiPriority w:val="99"/>
    <w:rPr>
      <w:b/>
      <w:bCs/>
    </w:rPr>
  </w:style>
  <w:style w:type="character" w:customStyle="1" w:styleId="14">
    <w:name w:val="批注框文本 Char"/>
    <w:basedOn w:val="8"/>
    <w:link w:val="3"/>
    <w:semiHidden/>
    <w:qFormat/>
    <w:locked/>
    <w:uiPriority w:val="99"/>
    <w:rPr>
      <w:rFonts w:ascii="Tahoma" w:hAnsi="Tahoma" w:cs="Tahoma"/>
      <w:sz w:val="18"/>
      <w:szCs w:val="18"/>
    </w:rPr>
  </w:style>
  <w:style w:type="paragraph" w:customStyle="1" w:styleId="15">
    <w:name w:val="一级标题-预案"/>
    <w:basedOn w:val="1"/>
    <w:qFormat/>
    <w:uiPriority w:val="0"/>
    <w:pPr>
      <w:widowControl w:val="0"/>
      <w:numPr>
        <w:ilvl w:val="0"/>
        <w:numId w:val="1"/>
      </w:numPr>
      <w:spacing w:beforeLines="50" w:afterLines="50" w:line="360" w:lineRule="auto"/>
      <w:ind w:left="431" w:hanging="431"/>
      <w:jc w:val="both"/>
      <w:outlineLvl w:val="0"/>
    </w:pPr>
    <w:rPr>
      <w:rFonts w:ascii="Times New Roman" w:hAnsi="Times New Roman" w:eastAsia="黑体" w:cs="Times New Roman"/>
      <w:b/>
      <w:kern w:val="2"/>
      <w:sz w:val="32"/>
      <w:szCs w:val="32"/>
    </w:rPr>
  </w:style>
  <w:style w:type="paragraph" w:customStyle="1" w:styleId="16">
    <w:name w:val="二级标题-预案"/>
    <w:basedOn w:val="1"/>
    <w:qFormat/>
    <w:uiPriority w:val="0"/>
    <w:pPr>
      <w:widowControl w:val="0"/>
      <w:numPr>
        <w:ilvl w:val="1"/>
        <w:numId w:val="1"/>
      </w:numPr>
      <w:spacing w:before="120" w:after="60" w:line="360" w:lineRule="auto"/>
      <w:ind w:left="720" w:hanging="720"/>
      <w:jc w:val="both"/>
      <w:outlineLvl w:val="1"/>
    </w:pPr>
    <w:rPr>
      <w:rFonts w:ascii="Times New Roman" w:hAnsi="Times New Roman" w:eastAsia="黑体" w:cs="Times New Roman"/>
      <w:b/>
      <w:kern w:val="2"/>
      <w:sz w:val="24"/>
      <w:szCs w:val="24"/>
    </w:rPr>
  </w:style>
  <w:style w:type="paragraph" w:customStyle="1" w:styleId="17">
    <w:name w:val="三级标题-预案"/>
    <w:basedOn w:val="1"/>
    <w:qFormat/>
    <w:uiPriority w:val="0"/>
    <w:pPr>
      <w:widowControl w:val="0"/>
      <w:numPr>
        <w:ilvl w:val="2"/>
        <w:numId w:val="1"/>
      </w:numPr>
      <w:spacing w:after="60" w:line="360" w:lineRule="auto"/>
      <w:jc w:val="both"/>
      <w:outlineLvl w:val="2"/>
    </w:pPr>
    <w:rPr>
      <w:rFonts w:ascii="Times New Roman" w:hAnsi="宋体" w:eastAsia="宋体" w:cs="Times New Roman"/>
      <w:b/>
      <w:kern w:val="2"/>
      <w:sz w:val="24"/>
      <w:szCs w:val="24"/>
    </w:rPr>
  </w:style>
  <w:style w:type="paragraph" w:customStyle="1" w:styleId="18">
    <w:name w:val="正文-预案"/>
    <w:basedOn w:val="1"/>
    <w:qFormat/>
    <w:uiPriority w:val="0"/>
    <w:pPr>
      <w:widowControl w:val="0"/>
      <w:spacing w:before="60" w:after="0" w:line="360" w:lineRule="auto"/>
      <w:ind w:firstLine="480" w:firstLineChars="200"/>
      <w:jc w:val="both"/>
    </w:pPr>
    <w:rPr>
      <w:rFonts w:ascii="Times New Roman" w:hAnsi="Times New Roman" w:eastAsia="宋体" w:cs="Times New Roman"/>
      <w:kern w:val="2"/>
      <w:sz w:val="24"/>
      <w:szCs w:val="24"/>
    </w:rPr>
  </w:style>
  <w:style w:type="paragraph" w:customStyle="1" w:styleId="19">
    <w:name w:val="四级标题-预案"/>
    <w:basedOn w:val="1"/>
    <w:qFormat/>
    <w:uiPriority w:val="0"/>
    <w:pPr>
      <w:widowControl w:val="0"/>
      <w:numPr>
        <w:ilvl w:val="3"/>
        <w:numId w:val="1"/>
      </w:numPr>
      <w:spacing w:after="0" w:line="360" w:lineRule="auto"/>
      <w:jc w:val="both"/>
      <w:outlineLvl w:val="3"/>
    </w:pPr>
    <w:rPr>
      <w:rFonts w:ascii="Times New Roman" w:hAnsi="宋体" w:eastAsia="宋体" w:cs="Times New Roman"/>
      <w:b/>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333</Words>
  <Characters>1901</Characters>
  <Lines>15</Lines>
  <Paragraphs>4</Paragraphs>
  <TotalTime>6</TotalTime>
  <ScaleCrop>false</ScaleCrop>
  <LinksUpToDate>false</LinksUpToDate>
  <CharactersWithSpaces>2230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2015-06-30T01:17:00Z</dcterms:created>
  <dc:creator>Sky123.Org</dc:creator>
  <cp:lastModifiedBy>Q</cp:lastModifiedBy>
  <cp:lastPrinted>2019-11-27T06:03:15Z</cp:lastPrinted>
  <dcterms:modified xsi:type="dcterms:W3CDTF">2019-11-27T06:06:37Z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